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永登县教育系统</w:t>
      </w:r>
      <w:r>
        <w:rPr>
          <w:rFonts w:hint="eastAsia" w:asciiTheme="majorEastAsia" w:hAnsiTheme="majorEastAsia" w:eastAsiaTheme="majorEastAsia"/>
          <w:b/>
          <w:sz w:val="44"/>
          <w:szCs w:val="44"/>
        </w:rPr>
        <w:t>2022年部门预算公开说明</w:t>
      </w:r>
    </w:p>
    <w:p>
      <w:pPr>
        <w:jc w:val="center"/>
        <w:rPr>
          <w:rFonts w:asciiTheme="majorEastAsia" w:hAnsiTheme="majorEastAsia" w:eastAsiaTheme="majorEastAsia"/>
          <w:b/>
          <w:sz w:val="44"/>
          <w:szCs w:val="44"/>
        </w:rPr>
      </w:pPr>
    </w:p>
    <w:p>
      <w:pPr>
        <w:spacing w:line="560" w:lineRule="exact"/>
        <w:ind w:firstLine="640" w:firstLineChars="200"/>
        <w:rPr>
          <w:rFonts w:ascii="仿宋_GB2312" w:eastAsia="仿宋_GB2312"/>
          <w:sz w:val="44"/>
          <w:szCs w:val="44"/>
        </w:rPr>
      </w:pPr>
      <w:r>
        <w:rPr>
          <w:rFonts w:hint="eastAsia" w:ascii="仿宋_GB2312" w:hAnsi="仿宋" w:eastAsia="仿宋_GB2312"/>
          <w:color w:val="333333"/>
          <w:sz w:val="32"/>
          <w:szCs w:val="32"/>
          <w:shd w:val="clear" w:color="auto" w:fill="FFFFFF"/>
        </w:rPr>
        <w:t>按照《预算法》、《地方预决算公开操作规程》、《中共甘肃省委办公厅 甘肃省人民政府办公厅关于进一步推进预算公开工作的实施方案》等法规及文件精神，现将202</w:t>
      </w:r>
      <w:r>
        <w:rPr>
          <w:rFonts w:hint="eastAsia" w:ascii="仿宋_GB2312" w:hAnsi="仿宋" w:eastAsia="仿宋_GB2312"/>
          <w:color w:val="333333"/>
          <w:sz w:val="32"/>
          <w:szCs w:val="32"/>
          <w:shd w:val="clear" w:color="auto" w:fill="FFFFFF"/>
          <w:lang w:val="en-US" w:eastAsia="zh-CN"/>
        </w:rPr>
        <w:t>2</w:t>
      </w:r>
      <w:r>
        <w:rPr>
          <w:rFonts w:hint="eastAsia" w:ascii="仿宋_GB2312" w:hAnsi="仿宋" w:eastAsia="仿宋_GB2312"/>
          <w:color w:val="333333"/>
          <w:sz w:val="32"/>
          <w:szCs w:val="32"/>
          <w:shd w:val="clear" w:color="auto" w:fill="FFFFFF"/>
        </w:rPr>
        <w:t>年本部门预算公开如下：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（一）本部门职责</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仿宋" w:eastAsia="仿宋_GB2312"/>
          <w:color w:val="333333"/>
          <w:sz w:val="32"/>
          <w:szCs w:val="32"/>
          <w:shd w:val="clear" w:color="auto" w:fill="FFFFFF"/>
        </w:rPr>
        <w:t>永登县教育局是县财政拨款的一级行政单位，其职责</w:t>
      </w:r>
      <w:r>
        <w:rPr>
          <w:rFonts w:hint="eastAsia" w:ascii="仿宋_GB2312" w:hAnsi="仿宋" w:eastAsia="仿宋_GB2312"/>
          <w:color w:val="333333"/>
          <w:sz w:val="32"/>
          <w:szCs w:val="32"/>
          <w:shd w:val="clear" w:color="auto" w:fill="FFFFFF"/>
          <w:lang w:val="en-US" w:eastAsia="zh-CN"/>
        </w:rPr>
        <w:t>一是</w:t>
      </w:r>
      <w:r>
        <w:rPr>
          <w:rFonts w:hint="eastAsia" w:ascii="仿宋_GB2312" w:hAnsi="仿宋" w:eastAsia="仿宋_GB2312"/>
          <w:color w:val="333333"/>
          <w:sz w:val="32"/>
          <w:szCs w:val="32"/>
          <w:shd w:val="clear" w:color="auto" w:fill="FFFFFF"/>
        </w:rPr>
        <w:t>贯彻执行党和国家的教育方针、政策和法规。</w:t>
      </w:r>
      <w:r>
        <w:rPr>
          <w:rFonts w:hint="eastAsia" w:ascii="仿宋_GB2312" w:hAnsi="仿宋" w:eastAsia="仿宋_GB2312"/>
          <w:color w:val="333333"/>
          <w:sz w:val="32"/>
          <w:szCs w:val="32"/>
          <w:shd w:val="clear" w:color="auto" w:fill="FFFFFF"/>
          <w:lang w:val="en-US" w:eastAsia="zh-CN"/>
        </w:rPr>
        <w:t>二是</w:t>
      </w:r>
      <w:r>
        <w:rPr>
          <w:rFonts w:hint="eastAsia" w:ascii="仿宋_GB2312" w:hAnsi="仿宋" w:eastAsia="仿宋_GB2312"/>
          <w:color w:val="333333"/>
          <w:sz w:val="32"/>
          <w:szCs w:val="32"/>
          <w:shd w:val="clear" w:color="auto" w:fill="FFFFFF"/>
        </w:rPr>
        <w:t>统筹安排全县各类教育的发展规划，规模，合理调整学校布局、学校设置等重大事宜。</w:t>
      </w:r>
      <w:r>
        <w:rPr>
          <w:rFonts w:hint="eastAsia" w:ascii="仿宋_GB2312" w:hAnsi="仿宋" w:eastAsia="仿宋_GB2312"/>
          <w:color w:val="333333"/>
          <w:sz w:val="32"/>
          <w:szCs w:val="32"/>
          <w:shd w:val="clear" w:color="auto" w:fill="FFFFFF"/>
          <w:lang w:val="en-US" w:eastAsia="zh-CN"/>
        </w:rPr>
        <w:t>三是</w:t>
      </w:r>
      <w:r>
        <w:rPr>
          <w:rFonts w:hint="eastAsia" w:ascii="仿宋_GB2312" w:hAnsi="仿宋" w:eastAsia="仿宋_GB2312"/>
          <w:color w:val="333333"/>
          <w:sz w:val="32"/>
          <w:szCs w:val="32"/>
          <w:shd w:val="clear" w:color="auto" w:fill="FFFFFF"/>
        </w:rPr>
        <w:t>负责对学前教育、基础教育，职业技术教育、成人教育等实施宏观指导和综合管理，代表县政府对下级政府和学校工作状况及办学水平进行督导和评估。</w:t>
      </w:r>
      <w:r>
        <w:rPr>
          <w:rFonts w:hint="eastAsia" w:ascii="仿宋_GB2312" w:hAnsi="仿宋" w:eastAsia="仿宋_GB2312"/>
          <w:color w:val="333333"/>
          <w:sz w:val="32"/>
          <w:szCs w:val="32"/>
          <w:shd w:val="clear" w:color="auto" w:fill="FFFFFF"/>
          <w:lang w:val="en-US" w:eastAsia="zh-CN"/>
        </w:rPr>
        <w:t>四是</w:t>
      </w:r>
      <w:r>
        <w:rPr>
          <w:rFonts w:hint="eastAsia" w:ascii="仿宋_GB2312" w:hAnsi="仿宋" w:eastAsia="仿宋_GB2312"/>
          <w:color w:val="333333"/>
          <w:sz w:val="32"/>
          <w:szCs w:val="32"/>
          <w:shd w:val="clear" w:color="auto" w:fill="FFFFFF"/>
        </w:rPr>
        <w:t>负责干部教师培训、教师队伍建设的规划指导。</w:t>
      </w:r>
      <w:r>
        <w:rPr>
          <w:rFonts w:hint="eastAsia" w:ascii="仿宋_GB2312" w:hAnsi="仿宋" w:eastAsia="仿宋_GB2312"/>
          <w:color w:val="333333"/>
          <w:sz w:val="32"/>
          <w:szCs w:val="32"/>
          <w:shd w:val="clear" w:color="auto" w:fill="FFFFFF"/>
          <w:lang w:val="en-US" w:eastAsia="zh-CN"/>
        </w:rPr>
        <w:t>五是</w:t>
      </w:r>
      <w:r>
        <w:rPr>
          <w:rFonts w:hint="eastAsia" w:ascii="仿宋_GB2312" w:hAnsi="仿宋" w:eastAsia="仿宋_GB2312"/>
          <w:color w:val="333333"/>
          <w:sz w:val="32"/>
          <w:szCs w:val="32"/>
          <w:shd w:val="clear" w:color="auto" w:fill="FFFFFF"/>
        </w:rPr>
        <w:t>负责教育体制、办学体制、学校管理体制、城乡教育综合改革的统筹规划和协调指导，参与经、科、教统筹和教育综合改革的实施。</w:t>
      </w:r>
      <w:r>
        <w:rPr>
          <w:rFonts w:hint="eastAsia" w:ascii="仿宋_GB2312" w:hAnsi="仿宋" w:eastAsia="仿宋_GB2312"/>
          <w:color w:val="333333"/>
          <w:sz w:val="32"/>
          <w:szCs w:val="32"/>
          <w:shd w:val="clear" w:color="auto" w:fill="FFFFFF"/>
          <w:lang w:val="en-US" w:eastAsia="zh-CN"/>
        </w:rPr>
        <w:t>六是</w:t>
      </w:r>
      <w:r>
        <w:rPr>
          <w:rFonts w:hint="eastAsia" w:ascii="仿宋_GB2312" w:hAnsi="仿宋" w:eastAsia="仿宋_GB2312"/>
          <w:color w:val="333333"/>
          <w:sz w:val="32"/>
          <w:szCs w:val="32"/>
          <w:shd w:val="clear" w:color="auto" w:fill="FFFFFF"/>
        </w:rPr>
        <w:t>指导教育经费预决算工作，检查监督教育经费的管理使用情况。</w:t>
      </w:r>
      <w:r>
        <w:rPr>
          <w:rFonts w:hint="eastAsia" w:ascii="仿宋_GB2312" w:hAnsi="仿宋" w:eastAsia="仿宋_GB2312"/>
          <w:color w:val="333333"/>
          <w:sz w:val="32"/>
          <w:szCs w:val="32"/>
          <w:shd w:val="clear" w:color="auto" w:fill="FFFFFF"/>
          <w:lang w:val="en-US" w:eastAsia="zh-CN"/>
        </w:rPr>
        <w:t>七是</w:t>
      </w:r>
      <w:r>
        <w:rPr>
          <w:rFonts w:hint="eastAsia" w:ascii="仿宋_GB2312" w:hAnsi="仿宋" w:eastAsia="仿宋_GB2312"/>
          <w:color w:val="333333"/>
          <w:sz w:val="32"/>
          <w:szCs w:val="32"/>
          <w:shd w:val="clear" w:color="auto" w:fill="FFFFFF"/>
        </w:rPr>
        <w:t>指导全县学校思想政治工作，负责各类招生考试工作，会同有关部门负责师范类大中专毕业生的就业安置工作。</w:t>
      </w:r>
      <w:r>
        <w:rPr>
          <w:rFonts w:hint="eastAsia" w:ascii="仿宋_GB2312" w:hAnsi="仿宋" w:eastAsia="仿宋_GB2312"/>
          <w:color w:val="333333"/>
          <w:sz w:val="32"/>
          <w:szCs w:val="32"/>
          <w:shd w:val="clear" w:color="auto" w:fill="FFFFFF"/>
          <w:lang w:val="en-US" w:eastAsia="zh-CN"/>
        </w:rPr>
        <w:t>八是</w:t>
      </w:r>
      <w:r>
        <w:rPr>
          <w:rFonts w:hint="eastAsia" w:ascii="仿宋_GB2312" w:hAnsi="仿宋" w:eastAsia="仿宋_GB2312"/>
          <w:color w:val="333333"/>
          <w:sz w:val="32"/>
          <w:szCs w:val="32"/>
          <w:shd w:val="clear" w:color="auto" w:fill="FFFFFF"/>
        </w:rPr>
        <w:t>指导、推动教育教学的理论研究和教育科研工作。</w:t>
      </w:r>
      <w:r>
        <w:rPr>
          <w:rFonts w:hint="eastAsia" w:ascii="仿宋_GB2312" w:hAnsi="仿宋" w:eastAsia="仿宋_GB2312"/>
          <w:color w:val="333333"/>
          <w:sz w:val="32"/>
          <w:szCs w:val="32"/>
          <w:shd w:val="clear" w:color="auto" w:fill="FFFFFF"/>
          <w:lang w:val="en-US" w:eastAsia="zh-CN"/>
        </w:rPr>
        <w:t>九是</w:t>
      </w:r>
      <w:r>
        <w:rPr>
          <w:rFonts w:hint="eastAsia" w:ascii="仿宋_GB2312" w:hAnsi="仿宋" w:eastAsia="仿宋_GB2312"/>
          <w:color w:val="333333"/>
          <w:sz w:val="32"/>
          <w:szCs w:val="32"/>
          <w:shd w:val="clear" w:color="auto" w:fill="FFFFFF"/>
        </w:rPr>
        <w:t>承办县政府交办的其它工作任务</w:t>
      </w:r>
      <w:r>
        <w:rPr>
          <w:rFonts w:hint="eastAsia" w:ascii="仿宋_GB2312" w:hAnsi="仿宋" w:eastAsia="仿宋_GB2312"/>
          <w:color w:val="333333"/>
          <w:sz w:val="32"/>
          <w:szCs w:val="32"/>
          <w:shd w:val="clear" w:color="auto" w:fill="FFFFFF"/>
          <w:lang w:eastAsia="zh-CN"/>
        </w:rPr>
        <w:t>。</w:t>
      </w:r>
    </w:p>
    <w:p>
      <w:pPr>
        <w:numPr>
          <w:ilvl w:val="0"/>
          <w:numId w:val="1"/>
        </w:num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机构设置情况说明</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黑体" w:eastAsia="仿宋_GB2312"/>
          <w:sz w:val="32"/>
          <w:szCs w:val="32"/>
          <w:lang w:val="en-US" w:eastAsia="zh-CN"/>
        </w:rPr>
        <w:t xml:space="preserve"> </w:t>
      </w:r>
      <w:r>
        <w:rPr>
          <w:rFonts w:hint="eastAsia" w:ascii="仿宋_GB2312" w:hAnsi="仿宋" w:eastAsia="仿宋_GB2312"/>
          <w:color w:val="333333"/>
          <w:sz w:val="32"/>
          <w:szCs w:val="32"/>
          <w:shd w:val="clear" w:color="auto" w:fill="FFFFFF"/>
          <w:lang w:val="en-US" w:eastAsia="zh-CN"/>
        </w:rPr>
        <w:t>本单位独立编制机构34个，编制3857人，2022年实有人员3611人，其中：事业人员3593人，行政人员18人。</w:t>
      </w:r>
    </w:p>
    <w:p>
      <w:pPr>
        <w:spacing w:line="560" w:lineRule="exact"/>
        <w:ind w:firstLine="640" w:firstLineChars="200"/>
        <w:rPr>
          <w:rFonts w:hint="eastAsia" w:ascii="华文楷体" w:hAnsi="华文楷体" w:eastAsia="华文楷体" w:cs="华文楷体"/>
          <w:color w:val="333333"/>
          <w:sz w:val="32"/>
          <w:szCs w:val="32"/>
          <w:shd w:val="clear" w:color="auto" w:fill="FFFFFF"/>
        </w:rPr>
      </w:pPr>
      <w:r>
        <w:rPr>
          <w:rFonts w:hint="eastAsia" w:ascii="华文楷体" w:hAnsi="华文楷体" w:eastAsia="华文楷体" w:cs="华文楷体"/>
          <w:color w:val="333333"/>
          <w:sz w:val="32"/>
          <w:szCs w:val="32"/>
          <w:shd w:val="clear" w:color="auto" w:fill="FFFFFF"/>
          <w:lang w:val="en-US" w:eastAsia="zh-CN"/>
        </w:rPr>
        <w:t>1.</w:t>
      </w:r>
      <w:r>
        <w:rPr>
          <w:rFonts w:hint="eastAsia" w:ascii="华文楷体" w:hAnsi="华文楷体" w:eastAsia="华文楷体" w:cs="华文楷体"/>
          <w:color w:val="333333"/>
          <w:sz w:val="32"/>
          <w:szCs w:val="32"/>
          <w:shd w:val="clear" w:color="auto" w:fill="FFFFFF"/>
        </w:rPr>
        <w:t>机关内设机构</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教育局内设机构</w:t>
      </w:r>
      <w:r>
        <w:rPr>
          <w:rFonts w:hint="eastAsia" w:ascii="仿宋_GB2312" w:hAnsi="仿宋" w:eastAsia="仿宋_GB2312"/>
          <w:color w:val="333333"/>
          <w:sz w:val="32"/>
          <w:szCs w:val="32"/>
          <w:shd w:val="clear" w:color="auto" w:fill="FFFFFF"/>
          <w:lang w:val="en-US" w:eastAsia="zh-CN"/>
        </w:rPr>
        <w:t>11个。</w:t>
      </w:r>
      <w:r>
        <w:rPr>
          <w:rFonts w:hint="eastAsia" w:ascii="仿宋_GB2312" w:hAnsi="仿宋" w:eastAsia="仿宋_GB2312"/>
          <w:color w:val="333333"/>
          <w:sz w:val="32"/>
          <w:szCs w:val="32"/>
          <w:shd w:val="clear" w:color="auto" w:fill="FFFFFF"/>
        </w:rPr>
        <w:t>包括永登县招生委员会办公室</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rPr>
        <w:t>永登县人民政府教育督导室</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rPr>
        <w:t>办公室、</w:t>
      </w:r>
      <w:r>
        <w:rPr>
          <w:rFonts w:hint="eastAsia" w:ascii="仿宋_GB2312" w:hAnsi="仿宋" w:eastAsia="仿宋_GB2312"/>
          <w:color w:val="333333"/>
          <w:sz w:val="32"/>
          <w:szCs w:val="32"/>
          <w:shd w:val="clear" w:color="auto" w:fill="FFFFFF"/>
          <w:lang w:val="en-US" w:eastAsia="zh-CN"/>
        </w:rPr>
        <w:t>教研培训中心、</w:t>
      </w:r>
      <w:r>
        <w:rPr>
          <w:rFonts w:hint="eastAsia" w:ascii="仿宋_GB2312" w:hAnsi="仿宋" w:eastAsia="仿宋_GB2312"/>
          <w:color w:val="333333"/>
          <w:sz w:val="32"/>
          <w:szCs w:val="32"/>
          <w:shd w:val="clear" w:color="auto" w:fill="FFFFFF"/>
        </w:rPr>
        <w:t>发规股、财审股、基教股、师资股、安全股</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lang w:val="en-US" w:eastAsia="zh-CN"/>
        </w:rPr>
        <w:t>成职教股、学生资助中心</w:t>
      </w:r>
      <w:r>
        <w:rPr>
          <w:rFonts w:hint="eastAsia" w:ascii="仿宋_GB2312" w:hAnsi="仿宋" w:eastAsia="仿宋_GB2312"/>
          <w:color w:val="333333"/>
          <w:sz w:val="32"/>
          <w:szCs w:val="32"/>
          <w:shd w:val="clear" w:color="auto" w:fill="FFFFFF"/>
        </w:rPr>
        <w:t>等科室。</w:t>
      </w:r>
    </w:p>
    <w:p>
      <w:pPr>
        <w:spacing w:line="560" w:lineRule="exact"/>
        <w:ind w:firstLine="640" w:firstLineChars="200"/>
        <w:rPr>
          <w:rFonts w:hint="eastAsia" w:ascii="华文楷体" w:hAnsi="华文楷体" w:eastAsia="华文楷体" w:cs="华文楷体"/>
          <w:color w:val="333333"/>
          <w:sz w:val="32"/>
          <w:szCs w:val="32"/>
          <w:shd w:val="clear" w:color="auto" w:fill="FFFFFF"/>
          <w:lang w:val="en-US" w:eastAsia="zh-CN"/>
        </w:rPr>
      </w:pPr>
      <w:r>
        <w:rPr>
          <w:rFonts w:hint="eastAsia" w:ascii="华文楷体" w:hAnsi="华文楷体" w:eastAsia="华文楷体" w:cs="华文楷体"/>
          <w:color w:val="333333"/>
          <w:sz w:val="32"/>
          <w:szCs w:val="32"/>
          <w:shd w:val="clear" w:color="auto" w:fill="FFFFFF"/>
          <w:lang w:val="en-US" w:eastAsia="zh-CN"/>
        </w:rPr>
        <w:t>2.局属事业单位</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lang w:val="en-US" w:eastAsia="zh-CN"/>
        </w:rPr>
        <w:t>县属属学校18所。</w:t>
      </w:r>
      <w:r>
        <w:rPr>
          <w:rFonts w:hint="eastAsia" w:ascii="仿宋_GB2312" w:hAnsi="仿宋" w:eastAsia="仿宋_GB2312"/>
          <w:color w:val="333333"/>
          <w:sz w:val="32"/>
          <w:szCs w:val="32"/>
          <w:shd w:val="clear" w:color="auto" w:fill="FFFFFF"/>
        </w:rPr>
        <w:t>包括</w:t>
      </w:r>
      <w:r>
        <w:rPr>
          <w:rFonts w:hint="eastAsia" w:ascii="仿宋_GB2312" w:hAnsi="仿宋" w:eastAsia="仿宋_GB2312"/>
          <w:color w:val="333333"/>
          <w:sz w:val="32"/>
          <w:szCs w:val="32"/>
          <w:shd w:val="clear" w:color="auto" w:fill="FFFFFF"/>
          <w:lang w:val="en-US" w:eastAsia="zh-CN"/>
        </w:rPr>
        <w:t>永登县中等职业技术学校、永登县第一中学、永登县第二中学、永登县第三中学、永登县第四中学、永登县第六中学、永登县第七中学、永登县第八中学、永登县城关小学、永登县新城区小学、永登县幼儿园、永登县新城区幼儿园、永登县西铁中学、永登县西铁小学、永登县连电学校、永登县连铝学校、永登县特殊教育学校、永登县祁连山学校</w:t>
      </w:r>
      <w:r>
        <w:rPr>
          <w:rFonts w:hint="eastAsia" w:ascii="仿宋_GB2312" w:hAnsi="仿宋" w:eastAsia="仿宋_GB2312"/>
          <w:color w:val="333333"/>
          <w:sz w:val="32"/>
          <w:szCs w:val="32"/>
          <w:shd w:val="clear" w:color="auto" w:fill="FFFFFF"/>
        </w:rPr>
        <w:t>等。</w:t>
      </w:r>
    </w:p>
    <w:p>
      <w:pPr>
        <w:spacing w:line="560" w:lineRule="exact"/>
        <w:ind w:firstLine="640" w:firstLineChars="200"/>
        <w:rPr>
          <w:rFonts w:hint="default"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乡镇中心学校16所。包括永登县城关镇中心学校、永登县柳树镇中心学校、永登县大同镇中心学校、永登县龙泉寺镇中心学校、永登县红城镇中心学校、永登县苦水镇中心学校、永登县树屏镇中心学校、永登县上川镇中心学校、永登县坪城乡中心学校、永登县武胜驿镇中心学校、永登县中堡镇中心学校、永登县通远乡中心学校、永登县民乐乡中心学校、永登县七山乡中心学校、永登县连城镇中心学校、永登县河桥镇中心学校等。</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二、部门年度预算安排情况</w:t>
      </w:r>
    </w:p>
    <w:p>
      <w:pPr>
        <w:widowControl/>
        <w:spacing w:after="225" w:line="405" w:lineRule="atLeast"/>
        <w:ind w:firstLine="602" w:firstLineChars="200"/>
        <w:rPr>
          <w:rFonts w:ascii="微软雅黑" w:hAnsi="微软雅黑" w:eastAsia="微软雅黑" w:cs="宋体"/>
          <w:color w:val="303030"/>
          <w:kern w:val="0"/>
          <w:sz w:val="27"/>
          <w:szCs w:val="27"/>
        </w:rPr>
      </w:pPr>
      <w:r>
        <w:rPr>
          <w:rFonts w:hint="eastAsia" w:ascii="宋体" w:hAnsi="宋体" w:cs="宋体"/>
          <w:b/>
          <w:bCs/>
          <w:color w:val="000000"/>
          <w:kern w:val="0"/>
          <w:sz w:val="30"/>
        </w:rPr>
        <w:t>（一）</w:t>
      </w:r>
      <w:r>
        <w:rPr>
          <w:rFonts w:hint="eastAsia" w:ascii="宋体" w:hAnsi="宋体" w:cs="宋体"/>
          <w:b/>
          <w:bCs/>
          <w:color w:val="303030"/>
          <w:kern w:val="0"/>
          <w:sz w:val="30"/>
          <w:szCs w:val="30"/>
        </w:rPr>
        <w:t>部门预算收支总体情况说明</w:t>
      </w:r>
    </w:p>
    <w:p>
      <w:pPr>
        <w:pStyle w:val="9"/>
        <w:widowControl/>
        <w:spacing w:line="360" w:lineRule="auto"/>
        <w:ind w:left="225" w:leftChars="107" w:firstLine="720" w:firstLineChars="225"/>
        <w:jc w:val="left"/>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2</w:t>
      </w:r>
      <w:r>
        <w:rPr>
          <w:rFonts w:hint="eastAsia" w:ascii="仿宋" w:hAnsi="仿宋" w:eastAsia="仿宋" w:cs="宋体"/>
          <w:bCs/>
          <w:color w:val="000000"/>
          <w:kern w:val="0"/>
          <w:sz w:val="32"/>
          <w:szCs w:val="32"/>
        </w:rPr>
        <w:t>年财政拨款收支总预算</w:t>
      </w:r>
      <w:r>
        <w:rPr>
          <w:rFonts w:hint="eastAsia" w:ascii="仿宋" w:hAnsi="仿宋" w:eastAsia="仿宋" w:cs="宋体"/>
          <w:bCs/>
          <w:color w:val="000000"/>
          <w:kern w:val="0"/>
          <w:sz w:val="32"/>
          <w:szCs w:val="32"/>
          <w:lang w:val="en-US" w:eastAsia="zh-CN"/>
        </w:rPr>
        <w:t>59869.16</w:t>
      </w:r>
      <w:r>
        <w:rPr>
          <w:rFonts w:hint="eastAsia" w:ascii="仿宋" w:hAnsi="仿宋" w:eastAsia="仿宋" w:cs="宋体"/>
          <w:bCs/>
          <w:color w:val="000000"/>
          <w:kern w:val="0"/>
          <w:sz w:val="32"/>
          <w:szCs w:val="32"/>
        </w:rPr>
        <w:t>万元，收入包括：一般公共预算收入</w:t>
      </w:r>
      <w:r>
        <w:rPr>
          <w:rFonts w:hint="eastAsia" w:ascii="仿宋" w:hAnsi="仿宋" w:eastAsia="仿宋" w:cs="宋体"/>
          <w:bCs/>
          <w:color w:val="000000"/>
          <w:kern w:val="0"/>
          <w:sz w:val="32"/>
          <w:szCs w:val="32"/>
          <w:lang w:val="en-US" w:eastAsia="zh-CN"/>
        </w:rPr>
        <w:t>59869.16</w:t>
      </w:r>
      <w:r>
        <w:rPr>
          <w:rFonts w:hint="eastAsia" w:ascii="仿宋" w:hAnsi="仿宋" w:eastAsia="仿宋" w:cs="宋体"/>
          <w:bCs/>
          <w:color w:val="000000"/>
          <w:kern w:val="0"/>
          <w:sz w:val="32"/>
          <w:szCs w:val="32"/>
        </w:rPr>
        <w:t>万元、无上年结转资金；支出包括：</w:t>
      </w:r>
      <w:r>
        <w:rPr>
          <w:rFonts w:hint="eastAsia" w:ascii="仿宋" w:hAnsi="仿宋" w:eastAsia="仿宋" w:cs="宋体"/>
          <w:bCs/>
          <w:color w:val="000000"/>
          <w:kern w:val="0"/>
          <w:sz w:val="32"/>
          <w:szCs w:val="32"/>
          <w:lang w:val="en-US" w:eastAsia="zh-CN"/>
        </w:rPr>
        <w:t>基本</w:t>
      </w:r>
      <w:r>
        <w:rPr>
          <w:rFonts w:hint="eastAsia" w:ascii="仿宋" w:hAnsi="仿宋" w:eastAsia="仿宋" w:cs="宋体"/>
          <w:bCs/>
          <w:color w:val="000000"/>
          <w:kern w:val="0"/>
          <w:sz w:val="32"/>
          <w:szCs w:val="32"/>
        </w:rPr>
        <w:t>支出</w:t>
      </w:r>
      <w:r>
        <w:rPr>
          <w:rFonts w:hint="eastAsia" w:ascii="仿宋" w:hAnsi="仿宋" w:eastAsia="仿宋" w:cs="宋体"/>
          <w:bCs/>
          <w:color w:val="000000"/>
          <w:kern w:val="0"/>
          <w:sz w:val="32"/>
          <w:szCs w:val="32"/>
          <w:lang w:val="en-US" w:eastAsia="zh-CN"/>
        </w:rPr>
        <w:t>45734.53</w:t>
      </w:r>
      <w:r>
        <w:rPr>
          <w:rFonts w:hint="eastAsia" w:ascii="仿宋" w:hAnsi="仿宋" w:eastAsia="仿宋" w:cs="宋体"/>
          <w:bCs/>
          <w:color w:val="000000"/>
          <w:kern w:val="0"/>
          <w:sz w:val="32"/>
          <w:szCs w:val="32"/>
        </w:rPr>
        <w:t>万元、</w:t>
      </w:r>
      <w:r>
        <w:rPr>
          <w:rFonts w:hint="eastAsia" w:ascii="仿宋" w:hAnsi="仿宋" w:eastAsia="仿宋" w:cs="宋体"/>
          <w:bCs/>
          <w:color w:val="000000"/>
          <w:kern w:val="0"/>
          <w:sz w:val="32"/>
          <w:szCs w:val="32"/>
          <w:lang w:val="en-US" w:eastAsia="zh-CN"/>
        </w:rPr>
        <w:t>项目支出14134.62</w:t>
      </w:r>
      <w:r>
        <w:rPr>
          <w:rFonts w:hint="eastAsia" w:ascii="仿宋" w:hAnsi="仿宋" w:eastAsia="仿宋" w:cs="宋体"/>
          <w:bCs/>
          <w:color w:val="000000"/>
          <w:kern w:val="0"/>
          <w:sz w:val="32"/>
          <w:szCs w:val="32"/>
        </w:rPr>
        <w:t>万元。</w:t>
      </w:r>
    </w:p>
    <w:p>
      <w:pPr>
        <w:widowControl/>
        <w:spacing w:after="225" w:line="405" w:lineRule="atLeast"/>
        <w:ind w:firstLine="904" w:firstLineChars="300"/>
        <w:rPr>
          <w:rFonts w:ascii="微软雅黑" w:hAnsi="微软雅黑" w:eastAsia="微软雅黑" w:cs="宋体"/>
          <w:color w:val="303030"/>
          <w:kern w:val="0"/>
          <w:sz w:val="27"/>
          <w:szCs w:val="27"/>
        </w:rPr>
      </w:pPr>
      <w:r>
        <w:rPr>
          <w:rFonts w:ascii="宋体" w:hAnsi="宋体" w:cs="宋体"/>
          <w:b/>
          <w:bCs/>
          <w:color w:val="000000"/>
          <w:kern w:val="0"/>
          <w:sz w:val="30"/>
        </w:rPr>
        <w:t>1.20</w:t>
      </w:r>
      <w:r>
        <w:rPr>
          <w:rFonts w:hint="eastAsia" w:ascii="宋体" w:hAnsi="宋体" w:cs="宋体"/>
          <w:b/>
          <w:bCs/>
          <w:color w:val="000000"/>
          <w:kern w:val="0"/>
          <w:sz w:val="30"/>
        </w:rPr>
        <w:t>2</w:t>
      </w:r>
      <w:r>
        <w:rPr>
          <w:rFonts w:hint="eastAsia" w:ascii="宋体" w:hAnsi="宋体" w:cs="宋体"/>
          <w:b/>
          <w:bCs/>
          <w:color w:val="000000"/>
          <w:kern w:val="0"/>
          <w:sz w:val="30"/>
          <w:lang w:val="en-US" w:eastAsia="zh-CN"/>
        </w:rPr>
        <w:t>2</w:t>
      </w:r>
      <w:r>
        <w:rPr>
          <w:rFonts w:hint="eastAsia" w:ascii="宋体" w:hAnsi="宋体" w:cs="宋体"/>
          <w:b/>
          <w:bCs/>
          <w:color w:val="000000"/>
          <w:kern w:val="0"/>
          <w:sz w:val="30"/>
        </w:rPr>
        <w:t>年收入预算情况说明</w:t>
      </w:r>
    </w:p>
    <w:p>
      <w:pPr>
        <w:pStyle w:val="9"/>
        <w:widowControl/>
        <w:spacing w:line="360" w:lineRule="auto"/>
        <w:ind w:left="225" w:leftChars="107" w:firstLine="720" w:firstLineChars="225"/>
        <w:jc w:val="left"/>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2</w:t>
      </w:r>
      <w:r>
        <w:rPr>
          <w:rFonts w:hint="eastAsia" w:ascii="仿宋" w:hAnsi="仿宋" w:eastAsia="仿宋" w:cs="宋体"/>
          <w:bCs/>
          <w:color w:val="000000"/>
          <w:kern w:val="0"/>
          <w:sz w:val="32"/>
          <w:szCs w:val="32"/>
        </w:rPr>
        <w:t>年收入预算</w:t>
      </w:r>
      <w:r>
        <w:rPr>
          <w:rFonts w:hint="eastAsia" w:ascii="仿宋" w:hAnsi="仿宋" w:eastAsia="仿宋" w:cs="宋体"/>
          <w:bCs/>
          <w:color w:val="000000"/>
          <w:kern w:val="0"/>
          <w:sz w:val="32"/>
          <w:szCs w:val="32"/>
          <w:lang w:val="en-US" w:eastAsia="zh-CN"/>
        </w:rPr>
        <w:t>59869.16</w:t>
      </w:r>
      <w:r>
        <w:rPr>
          <w:rFonts w:hint="eastAsia" w:ascii="仿宋" w:hAnsi="仿宋" w:eastAsia="仿宋" w:cs="宋体"/>
          <w:bCs/>
          <w:color w:val="000000"/>
          <w:kern w:val="0"/>
          <w:sz w:val="32"/>
          <w:szCs w:val="32"/>
        </w:rPr>
        <w:t>万元，无上年结转资金；一般公共预算经费拨款收入</w:t>
      </w:r>
      <w:r>
        <w:rPr>
          <w:rFonts w:hint="eastAsia" w:ascii="仿宋" w:hAnsi="仿宋" w:eastAsia="仿宋" w:cs="宋体"/>
          <w:bCs/>
          <w:color w:val="000000"/>
          <w:kern w:val="0"/>
          <w:sz w:val="32"/>
          <w:szCs w:val="32"/>
          <w:lang w:val="en-US" w:eastAsia="zh-CN"/>
        </w:rPr>
        <w:t>59869.16</w:t>
      </w:r>
      <w:r>
        <w:rPr>
          <w:rFonts w:hint="eastAsia" w:ascii="仿宋" w:hAnsi="仿宋" w:eastAsia="仿宋" w:cs="宋体"/>
          <w:bCs/>
          <w:color w:val="000000"/>
          <w:kern w:val="0"/>
          <w:sz w:val="32"/>
          <w:szCs w:val="32"/>
        </w:rPr>
        <w:t>元，占总收入100%。</w:t>
      </w:r>
    </w:p>
    <w:p>
      <w:pPr>
        <w:widowControl/>
        <w:spacing w:after="225" w:line="405" w:lineRule="atLeast"/>
        <w:ind w:firstLine="904" w:firstLineChars="300"/>
        <w:rPr>
          <w:rFonts w:ascii="微软雅黑" w:hAnsi="微软雅黑" w:eastAsia="微软雅黑" w:cs="宋体"/>
          <w:color w:val="303030"/>
          <w:kern w:val="0"/>
          <w:sz w:val="27"/>
          <w:szCs w:val="27"/>
        </w:rPr>
      </w:pPr>
      <w:r>
        <w:rPr>
          <w:rFonts w:ascii="宋体" w:hAnsi="宋体" w:cs="宋体"/>
          <w:b/>
          <w:bCs/>
          <w:color w:val="000000"/>
          <w:kern w:val="0"/>
          <w:sz w:val="30"/>
        </w:rPr>
        <w:t>2.20</w:t>
      </w:r>
      <w:r>
        <w:rPr>
          <w:rFonts w:hint="eastAsia" w:ascii="宋体" w:hAnsi="宋体" w:cs="宋体"/>
          <w:b/>
          <w:bCs/>
          <w:color w:val="000000"/>
          <w:kern w:val="0"/>
          <w:sz w:val="30"/>
        </w:rPr>
        <w:t>2</w:t>
      </w:r>
      <w:r>
        <w:rPr>
          <w:rFonts w:hint="eastAsia" w:ascii="宋体" w:hAnsi="宋体" w:cs="宋体"/>
          <w:b/>
          <w:bCs/>
          <w:color w:val="000000"/>
          <w:kern w:val="0"/>
          <w:sz w:val="30"/>
          <w:lang w:val="en-US" w:eastAsia="zh-CN"/>
        </w:rPr>
        <w:t>2</w:t>
      </w:r>
      <w:r>
        <w:rPr>
          <w:rFonts w:hint="eastAsia" w:ascii="宋体" w:hAnsi="宋体" w:cs="宋体"/>
          <w:b/>
          <w:bCs/>
          <w:color w:val="000000"/>
          <w:kern w:val="0"/>
          <w:sz w:val="30"/>
        </w:rPr>
        <w:t>年支出预算情况说明</w:t>
      </w:r>
    </w:p>
    <w:p>
      <w:pPr>
        <w:pStyle w:val="9"/>
        <w:widowControl/>
        <w:spacing w:line="360" w:lineRule="auto"/>
        <w:ind w:left="225" w:leftChars="107" w:firstLine="720" w:firstLineChars="225"/>
        <w:jc w:val="left"/>
        <w:rPr>
          <w:rFonts w:ascii="微软雅黑" w:hAnsi="微软雅黑" w:eastAsia="微软雅黑" w:cs="宋体"/>
          <w:color w:val="303030"/>
          <w:kern w:val="0"/>
          <w:sz w:val="27"/>
          <w:szCs w:val="27"/>
        </w:rPr>
      </w:pPr>
      <w:r>
        <w:rPr>
          <w:rFonts w:hint="eastAsia" w:ascii="仿宋" w:hAnsi="仿宋" w:eastAsia="仿宋" w:cs="宋体"/>
          <w:bCs/>
          <w:color w:val="000000"/>
          <w:kern w:val="0"/>
          <w:sz w:val="32"/>
          <w:szCs w:val="32"/>
          <w:lang w:val="en-US" w:eastAsia="zh-CN" w:bidi="ar-SA"/>
        </w:rPr>
        <w:t>2022年预算支出</w:t>
      </w:r>
      <w:r>
        <w:rPr>
          <w:rFonts w:hint="eastAsia" w:ascii="仿宋" w:hAnsi="仿宋" w:eastAsia="仿宋" w:cs="宋体"/>
          <w:bCs/>
          <w:color w:val="000000"/>
          <w:kern w:val="0"/>
          <w:sz w:val="32"/>
          <w:szCs w:val="32"/>
          <w:lang w:val="en-US" w:eastAsia="zh-CN"/>
        </w:rPr>
        <w:t>59869.16</w:t>
      </w:r>
      <w:r>
        <w:rPr>
          <w:rFonts w:hint="eastAsia" w:ascii="仿宋" w:hAnsi="仿宋" w:eastAsia="仿宋" w:cs="宋体"/>
          <w:bCs/>
          <w:color w:val="000000"/>
          <w:kern w:val="0"/>
          <w:sz w:val="32"/>
          <w:szCs w:val="32"/>
          <w:lang w:val="en-US" w:eastAsia="zh-CN" w:bidi="ar-SA"/>
        </w:rPr>
        <w:t>万元，其中：</w:t>
      </w:r>
      <w:r>
        <w:rPr>
          <w:rFonts w:hint="eastAsia" w:ascii="仿宋" w:hAnsi="仿宋" w:eastAsia="仿宋" w:cs="宋体"/>
          <w:bCs/>
          <w:color w:val="000000"/>
          <w:kern w:val="0"/>
          <w:sz w:val="32"/>
          <w:szCs w:val="32"/>
          <w:lang w:val="en-US" w:eastAsia="zh-CN"/>
        </w:rPr>
        <w:t>基本</w:t>
      </w:r>
      <w:r>
        <w:rPr>
          <w:rFonts w:hint="eastAsia" w:ascii="仿宋" w:hAnsi="仿宋" w:eastAsia="仿宋" w:cs="宋体"/>
          <w:bCs/>
          <w:color w:val="000000"/>
          <w:kern w:val="0"/>
          <w:sz w:val="32"/>
          <w:szCs w:val="32"/>
        </w:rPr>
        <w:t>支出</w:t>
      </w:r>
      <w:r>
        <w:rPr>
          <w:rFonts w:hint="eastAsia" w:ascii="仿宋" w:hAnsi="仿宋" w:eastAsia="仿宋" w:cs="宋体"/>
          <w:bCs/>
          <w:color w:val="000000"/>
          <w:kern w:val="0"/>
          <w:sz w:val="32"/>
          <w:szCs w:val="32"/>
          <w:lang w:val="en-US" w:eastAsia="zh-CN"/>
        </w:rPr>
        <w:t>45734.53</w:t>
      </w:r>
      <w:r>
        <w:rPr>
          <w:rFonts w:hint="eastAsia" w:ascii="仿宋" w:hAnsi="仿宋" w:eastAsia="仿宋" w:cs="宋体"/>
          <w:bCs/>
          <w:color w:val="000000"/>
          <w:kern w:val="0"/>
          <w:sz w:val="32"/>
          <w:szCs w:val="32"/>
          <w:lang w:val="en-US" w:eastAsia="zh-CN" w:bidi="ar-SA"/>
        </w:rPr>
        <w:t>万元，占总预算的76.40%；项目支出</w:t>
      </w:r>
      <w:r>
        <w:rPr>
          <w:rFonts w:hint="eastAsia" w:ascii="仿宋" w:hAnsi="仿宋" w:eastAsia="仿宋" w:cs="宋体"/>
          <w:bCs/>
          <w:color w:val="000000"/>
          <w:kern w:val="0"/>
          <w:sz w:val="32"/>
          <w:szCs w:val="32"/>
          <w:lang w:val="en-US" w:eastAsia="zh-CN"/>
        </w:rPr>
        <w:t>14134.62</w:t>
      </w:r>
      <w:r>
        <w:rPr>
          <w:rFonts w:hint="eastAsia" w:ascii="仿宋" w:hAnsi="仿宋" w:eastAsia="仿宋" w:cs="宋体"/>
          <w:bCs/>
          <w:color w:val="000000"/>
          <w:kern w:val="0"/>
          <w:sz w:val="32"/>
          <w:szCs w:val="32"/>
        </w:rPr>
        <w:t>万元</w:t>
      </w:r>
      <w:r>
        <w:rPr>
          <w:rFonts w:hint="eastAsia" w:ascii="仿宋" w:hAnsi="仿宋" w:eastAsia="仿宋" w:cs="宋体"/>
          <w:bCs/>
          <w:color w:val="000000"/>
          <w:kern w:val="0"/>
          <w:sz w:val="32"/>
          <w:szCs w:val="32"/>
          <w:lang w:eastAsia="zh-CN"/>
        </w:rPr>
        <w:t>，</w:t>
      </w:r>
      <w:r>
        <w:rPr>
          <w:rFonts w:hint="eastAsia" w:ascii="仿宋" w:hAnsi="仿宋" w:eastAsia="仿宋" w:cs="宋体"/>
          <w:bCs/>
          <w:color w:val="000000"/>
          <w:kern w:val="0"/>
          <w:sz w:val="32"/>
          <w:szCs w:val="32"/>
          <w:lang w:val="en-US" w:eastAsia="zh-CN" w:bidi="ar-SA"/>
        </w:rPr>
        <w:t>占总预算的23.60%。</w:t>
      </w:r>
    </w:p>
    <w:p>
      <w:pPr>
        <w:widowControl/>
        <w:spacing w:after="225" w:line="405" w:lineRule="atLeast"/>
        <w:ind w:firstLine="630"/>
        <w:rPr>
          <w:rFonts w:ascii="微软雅黑" w:hAnsi="微软雅黑" w:eastAsia="微软雅黑" w:cs="宋体"/>
          <w:color w:val="303030"/>
          <w:kern w:val="0"/>
          <w:sz w:val="27"/>
          <w:szCs w:val="27"/>
        </w:rPr>
      </w:pPr>
      <w:r>
        <w:rPr>
          <w:rFonts w:hint="eastAsia" w:ascii="宋体" w:hAnsi="宋体" w:cs="宋体"/>
          <w:b/>
          <w:bCs/>
          <w:color w:val="000000"/>
          <w:kern w:val="0"/>
          <w:sz w:val="30"/>
        </w:rPr>
        <w:t>（二）</w:t>
      </w:r>
      <w:r>
        <w:rPr>
          <w:rFonts w:hint="eastAsia" w:ascii="宋体" w:hAnsi="宋体" w:cs="宋体"/>
          <w:b/>
          <w:bCs/>
          <w:color w:val="303030"/>
          <w:kern w:val="0"/>
          <w:sz w:val="30"/>
          <w:szCs w:val="30"/>
        </w:rPr>
        <w:t>一般公共预算支出情况</w:t>
      </w:r>
      <w:r>
        <w:rPr>
          <w:rFonts w:hint="eastAsia" w:ascii="宋体" w:hAnsi="宋体" w:cs="宋体"/>
          <w:b/>
          <w:bCs/>
          <w:color w:val="000000"/>
          <w:kern w:val="0"/>
          <w:sz w:val="30"/>
        </w:rPr>
        <w:t>说明</w:t>
      </w:r>
    </w:p>
    <w:p>
      <w:pPr>
        <w:ind w:firstLine="640" w:firstLineChars="200"/>
        <w:rPr>
          <w:rFonts w:hint="default" w:ascii="楷体" w:hAnsi="楷体" w:eastAsia="楷体" w:cs="楷体"/>
          <w:bCs/>
          <w:color w:val="000000"/>
          <w:kern w:val="0"/>
          <w:sz w:val="32"/>
          <w:szCs w:val="32"/>
          <w:lang w:val="en-US" w:eastAsia="zh-CN"/>
        </w:rPr>
      </w:pPr>
      <w:r>
        <w:rPr>
          <w:rFonts w:hint="eastAsia" w:ascii="楷体" w:hAnsi="楷体" w:eastAsia="楷体" w:cs="楷体"/>
          <w:bCs/>
          <w:color w:val="000000"/>
          <w:kern w:val="0"/>
          <w:sz w:val="32"/>
          <w:szCs w:val="32"/>
          <w:lang w:val="en-US" w:eastAsia="zh-CN"/>
        </w:rPr>
        <w:t>1.基本支出</w:t>
      </w:r>
      <w:r>
        <w:rPr>
          <w:rFonts w:hint="eastAsia" w:ascii="仿宋" w:hAnsi="仿宋" w:eastAsia="仿宋" w:cs="宋体"/>
          <w:bCs/>
          <w:color w:val="000000"/>
          <w:kern w:val="0"/>
          <w:sz w:val="32"/>
          <w:szCs w:val="32"/>
          <w:lang w:val="en-US" w:eastAsia="zh-CN"/>
        </w:rPr>
        <w:t>45734.53</w:t>
      </w:r>
      <w:r>
        <w:rPr>
          <w:rFonts w:hint="eastAsia" w:ascii="楷体" w:hAnsi="楷体" w:eastAsia="楷体" w:cs="楷体"/>
          <w:bCs/>
          <w:color w:val="000000"/>
          <w:kern w:val="0"/>
          <w:sz w:val="32"/>
          <w:szCs w:val="32"/>
          <w:lang w:val="en-US" w:eastAsia="zh-CN"/>
        </w:rPr>
        <w:t>万元</w:t>
      </w:r>
    </w:p>
    <w:p>
      <w:pPr>
        <w:ind w:firstLine="640" w:firstLineChars="200"/>
        <w:rPr>
          <w:rFonts w:hint="eastAsia" w:ascii="仿宋" w:hAnsi="仿宋" w:eastAsia="仿宋" w:cs="宋体"/>
          <w:bCs/>
          <w:color w:val="000000"/>
          <w:kern w:val="0"/>
          <w:sz w:val="32"/>
          <w:szCs w:val="32"/>
        </w:rPr>
      </w:pP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0</w:t>
      </w:r>
      <w:r>
        <w:rPr>
          <w:rFonts w:hint="eastAsia" w:ascii="仿宋" w:hAnsi="仿宋" w:eastAsia="仿宋" w:cs="宋体"/>
          <w:bCs/>
          <w:color w:val="000000"/>
          <w:kern w:val="0"/>
          <w:sz w:val="32"/>
          <w:szCs w:val="32"/>
          <w:lang w:val="en-US" w:eastAsia="zh-CN"/>
        </w:rPr>
        <w:t>22</w:t>
      </w:r>
      <w:r>
        <w:rPr>
          <w:rFonts w:hint="eastAsia" w:ascii="仿宋" w:hAnsi="仿宋" w:eastAsia="仿宋" w:cs="宋体"/>
          <w:bCs/>
          <w:color w:val="000000"/>
          <w:kern w:val="0"/>
          <w:sz w:val="32"/>
          <w:szCs w:val="32"/>
        </w:rPr>
        <w:t>年我单位一般公共预算</w:t>
      </w:r>
      <w:r>
        <w:rPr>
          <w:rFonts w:hint="eastAsia" w:ascii="仿宋" w:hAnsi="仿宋" w:eastAsia="仿宋" w:cs="宋体"/>
          <w:bCs/>
          <w:color w:val="000000"/>
          <w:kern w:val="0"/>
          <w:sz w:val="32"/>
          <w:szCs w:val="32"/>
          <w:lang w:val="en-US" w:eastAsia="zh-CN"/>
        </w:rPr>
        <w:t>基本支出45734.53</w:t>
      </w:r>
      <w:r>
        <w:rPr>
          <w:rFonts w:hint="eastAsia" w:ascii="仿宋" w:hAnsi="仿宋" w:eastAsia="仿宋" w:cs="宋体"/>
          <w:bCs/>
          <w:color w:val="000000"/>
          <w:kern w:val="0"/>
          <w:sz w:val="32"/>
          <w:szCs w:val="32"/>
        </w:rPr>
        <w:t>万元，</w:t>
      </w:r>
      <w:r>
        <w:rPr>
          <w:rFonts w:hint="eastAsia" w:ascii="仿宋" w:hAnsi="仿宋" w:eastAsia="仿宋" w:cs="宋体"/>
          <w:bCs/>
          <w:color w:val="000000"/>
          <w:kern w:val="0"/>
          <w:sz w:val="32"/>
          <w:szCs w:val="32"/>
          <w:lang w:val="en-US" w:eastAsia="zh-CN"/>
        </w:rPr>
        <w:t>其中：</w:t>
      </w:r>
      <w:r>
        <w:rPr>
          <w:rFonts w:hint="eastAsia" w:ascii="仿宋" w:hAnsi="仿宋" w:eastAsia="仿宋" w:cs="宋体"/>
          <w:bCs/>
          <w:color w:val="000000"/>
          <w:kern w:val="0"/>
          <w:sz w:val="32"/>
          <w:szCs w:val="32"/>
        </w:rPr>
        <w:t>工资福利收支</w:t>
      </w:r>
      <w:r>
        <w:rPr>
          <w:rFonts w:hint="eastAsia" w:ascii="仿宋" w:hAnsi="仿宋" w:eastAsia="仿宋" w:cs="宋体"/>
          <w:bCs/>
          <w:color w:val="000000"/>
          <w:kern w:val="0"/>
          <w:sz w:val="32"/>
          <w:szCs w:val="32"/>
          <w:lang w:val="en-US" w:eastAsia="zh-CN"/>
        </w:rPr>
        <w:t>43843.19</w:t>
      </w:r>
      <w:r>
        <w:rPr>
          <w:rFonts w:hint="eastAsia" w:ascii="仿宋" w:hAnsi="仿宋" w:eastAsia="仿宋" w:cs="宋体"/>
          <w:bCs/>
          <w:color w:val="000000"/>
          <w:kern w:val="0"/>
          <w:sz w:val="32"/>
          <w:szCs w:val="32"/>
        </w:rPr>
        <w:t>万元，商品和服务收支</w:t>
      </w:r>
      <w:r>
        <w:rPr>
          <w:rFonts w:hint="eastAsia" w:ascii="仿宋" w:hAnsi="仿宋" w:eastAsia="仿宋" w:cs="宋体"/>
          <w:bCs/>
          <w:color w:val="000000"/>
          <w:kern w:val="0"/>
          <w:sz w:val="32"/>
          <w:szCs w:val="32"/>
          <w:lang w:val="en-US" w:eastAsia="zh-CN"/>
        </w:rPr>
        <w:t>395.27</w:t>
      </w:r>
      <w:r>
        <w:rPr>
          <w:rFonts w:hint="eastAsia" w:ascii="仿宋" w:hAnsi="仿宋" w:eastAsia="仿宋" w:cs="宋体"/>
          <w:bCs/>
          <w:color w:val="000000"/>
          <w:kern w:val="0"/>
          <w:sz w:val="32"/>
          <w:szCs w:val="32"/>
        </w:rPr>
        <w:t>万元，对个人和家庭收支</w:t>
      </w:r>
      <w:r>
        <w:rPr>
          <w:rFonts w:hint="eastAsia" w:ascii="仿宋" w:hAnsi="仿宋" w:eastAsia="仿宋" w:cs="宋体"/>
          <w:bCs/>
          <w:color w:val="000000"/>
          <w:kern w:val="0"/>
          <w:sz w:val="32"/>
          <w:szCs w:val="32"/>
          <w:lang w:val="en-US" w:eastAsia="zh-CN"/>
        </w:rPr>
        <w:t>1492.07</w:t>
      </w:r>
      <w:r>
        <w:rPr>
          <w:rFonts w:hint="eastAsia" w:ascii="仿宋" w:hAnsi="仿宋" w:eastAsia="仿宋" w:cs="宋体"/>
          <w:bCs/>
          <w:color w:val="000000"/>
          <w:kern w:val="0"/>
          <w:sz w:val="32"/>
          <w:szCs w:val="32"/>
        </w:rPr>
        <w:t>万元。</w:t>
      </w:r>
    </w:p>
    <w:p>
      <w:pPr>
        <w:ind w:firstLine="640" w:firstLineChars="200"/>
        <w:rPr>
          <w:rFonts w:hint="default" w:ascii="仿宋" w:hAnsi="仿宋" w:eastAsia="仿宋" w:cs="宋体"/>
          <w:bCs/>
          <w:color w:val="000000"/>
          <w:kern w:val="0"/>
          <w:sz w:val="32"/>
          <w:szCs w:val="32"/>
          <w:lang w:val="en-US" w:eastAsia="zh-CN"/>
        </w:rPr>
      </w:pPr>
      <w:r>
        <w:rPr>
          <w:rFonts w:hint="eastAsia" w:ascii="楷体" w:hAnsi="楷体" w:eastAsia="楷体" w:cs="楷体"/>
          <w:bCs/>
          <w:color w:val="000000"/>
          <w:kern w:val="0"/>
          <w:sz w:val="32"/>
          <w:szCs w:val="32"/>
          <w:lang w:val="en-US" w:eastAsia="zh-CN"/>
        </w:rPr>
        <w:t>2.项目支出14134.62万元</w:t>
      </w:r>
    </w:p>
    <w:p>
      <w:pPr>
        <w:ind w:firstLine="640" w:firstLineChars="200"/>
        <w:rPr>
          <w:rFonts w:hint="eastAsia" w:ascii="仿宋" w:hAnsi="仿宋" w:eastAsia="仿宋" w:cs="宋体"/>
          <w:bCs/>
          <w:color w:val="000000"/>
          <w:kern w:val="0"/>
          <w:sz w:val="32"/>
          <w:szCs w:val="32"/>
          <w:lang w:eastAsia="zh-CN"/>
        </w:rPr>
      </w:pPr>
      <w:r>
        <w:rPr>
          <w:rFonts w:hint="eastAsia" w:ascii="仿宋" w:hAnsi="仿宋" w:eastAsia="仿宋" w:cs="宋体"/>
          <w:bCs/>
          <w:color w:val="000000"/>
          <w:kern w:val="0"/>
          <w:sz w:val="32"/>
          <w:szCs w:val="32"/>
          <w:lang w:val="en-US" w:eastAsia="zh-CN"/>
        </w:rPr>
        <w:t>省级财政提前下达专项资金10928.98万元，其中：城乡义务教育补助经费7520.43万元，学生资助补助经费1026.55万元，义务教育薄弱环节改善与能力提升补助资金1730万元，三区人才计划教师专项工作补助经费15万元，特殊教育补助资金25万元，义教阶段寄宿生交通补助省级奖补354万元，学前教育发展专项资金258万元</w:t>
      </w:r>
      <w:r>
        <w:rPr>
          <w:rFonts w:hint="eastAsia" w:ascii="仿宋" w:hAnsi="仿宋" w:eastAsia="仿宋" w:cs="宋体"/>
          <w:bCs/>
          <w:color w:val="000000"/>
          <w:kern w:val="0"/>
          <w:sz w:val="32"/>
          <w:szCs w:val="32"/>
          <w:lang w:eastAsia="zh-CN"/>
        </w:rPr>
        <w:t>。</w:t>
      </w:r>
    </w:p>
    <w:p>
      <w:pPr>
        <w:ind w:firstLine="640" w:firstLineChars="200"/>
        <w:rPr>
          <w:rFonts w:hint="eastAsia"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lang w:val="en-US" w:eastAsia="zh-CN"/>
        </w:rPr>
        <w:t>市级财政提前下达专项资金351.64万元，其中：乡村教师补助338.04万元，千进八百跟班跟师专项资金13.6万元。</w:t>
      </w:r>
    </w:p>
    <w:p>
      <w:pPr>
        <w:ind w:firstLine="640" w:firstLineChars="200"/>
        <w:rPr>
          <w:rFonts w:hint="default"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lang w:val="en-US" w:eastAsia="zh-CN"/>
        </w:rPr>
        <w:t>县级财政下达项目预算资金2854万元，其中：危房改造资金595万元，教育督导、教师培训、学校保安、高中生均公用经费等“其他教育费附加支出”2259万元。</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（二）预算收支增减变化情况说明</w:t>
      </w:r>
    </w:p>
    <w:p>
      <w:pPr>
        <w:widowControl/>
        <w:spacing w:after="225" w:line="405" w:lineRule="atLeast"/>
        <w:ind w:left="6078" w:leftChars="304" w:hanging="5440" w:hangingChars="1700"/>
        <w:jc w:val="both"/>
        <w:rPr>
          <w:rFonts w:ascii="宋体" w:hAnsi="宋体" w:cs="宋体"/>
          <w:color w:val="000000"/>
          <w:kern w:val="0"/>
          <w:sz w:val="30"/>
          <w:szCs w:val="30"/>
        </w:rPr>
      </w:pPr>
      <w:r>
        <w:rPr>
          <w:rFonts w:hint="eastAsia" w:ascii="仿宋" w:hAnsi="仿宋" w:eastAsia="仿宋" w:cs="宋体"/>
          <w:bCs/>
          <w:color w:val="000000"/>
          <w:kern w:val="0"/>
          <w:sz w:val="32"/>
          <w:szCs w:val="32"/>
          <w:lang w:val="en-US" w:eastAsia="zh-CN" w:bidi="ar-SA"/>
        </w:rPr>
        <w:t>1.2</w:t>
      </w:r>
      <w:r>
        <w:rPr>
          <w:rFonts w:hint="eastAsia" w:ascii="仿宋_GB2312" w:hAnsi="仿宋" w:eastAsia="仿宋_GB2312"/>
          <w:color w:val="333333"/>
          <w:sz w:val="32"/>
          <w:szCs w:val="32"/>
          <w:shd w:val="clear" w:color="auto" w:fill="FFFFFF"/>
          <w:lang w:val="en-US" w:eastAsia="zh-CN"/>
        </w:rPr>
        <w:t>022年与2021年预算收入支出对比情况</w:t>
      </w:r>
      <w:r>
        <w:rPr>
          <w:rFonts w:hint="eastAsia" w:ascii="仿宋" w:hAnsi="仿宋" w:eastAsia="仿宋" w:cs="宋体"/>
          <w:bCs/>
          <w:color w:val="000000"/>
          <w:kern w:val="0"/>
          <w:sz w:val="32"/>
          <w:szCs w:val="32"/>
          <w:lang w:val="en-US" w:eastAsia="zh-CN" w:bidi="ar-SA"/>
        </w:rPr>
        <w:t xml:space="preserve">                                                                                    单位：万元</w:t>
      </w:r>
    </w:p>
    <w:tbl>
      <w:tblPr>
        <w:tblStyle w:val="5"/>
        <w:tblW w:w="8358" w:type="dxa"/>
        <w:tblInd w:w="88" w:type="dxa"/>
        <w:tblLayout w:type="autofit"/>
        <w:tblCellMar>
          <w:top w:w="0" w:type="dxa"/>
          <w:left w:w="108" w:type="dxa"/>
          <w:bottom w:w="0" w:type="dxa"/>
          <w:right w:w="108" w:type="dxa"/>
        </w:tblCellMar>
      </w:tblPr>
      <w:tblGrid>
        <w:gridCol w:w="2456"/>
        <w:gridCol w:w="1740"/>
        <w:gridCol w:w="1711"/>
        <w:gridCol w:w="2451"/>
      </w:tblGrid>
      <w:tr>
        <w:tblPrEx>
          <w:tblCellMar>
            <w:top w:w="0" w:type="dxa"/>
            <w:left w:w="108" w:type="dxa"/>
            <w:bottom w:w="0" w:type="dxa"/>
            <w:right w:w="108" w:type="dxa"/>
          </w:tblCellMar>
        </w:tblPrEx>
        <w:trPr>
          <w:trHeight w:val="90" w:hRule="atLeast"/>
        </w:trPr>
        <w:tc>
          <w:tcPr>
            <w:tcW w:w="2456"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60" w:lineRule="auto"/>
              <w:ind w:firstLine="560" w:firstLineChars="200"/>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项    目</w:t>
            </w:r>
          </w:p>
        </w:tc>
        <w:tc>
          <w:tcPr>
            <w:tcW w:w="1740"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20</w:t>
            </w:r>
            <w:r>
              <w:rPr>
                <w:rFonts w:hint="eastAsia" w:cs="宋体" w:asciiTheme="majorEastAsia" w:hAnsiTheme="majorEastAsia" w:eastAsiaTheme="majorEastAsia"/>
                <w:kern w:val="0"/>
                <w:sz w:val="28"/>
                <w:szCs w:val="28"/>
                <w:lang w:val="en-US" w:eastAsia="zh-CN"/>
              </w:rPr>
              <w:t>21</w:t>
            </w:r>
            <w:r>
              <w:rPr>
                <w:rFonts w:hint="eastAsia" w:cs="宋体" w:asciiTheme="majorEastAsia" w:hAnsiTheme="majorEastAsia" w:eastAsiaTheme="majorEastAsia"/>
                <w:kern w:val="0"/>
                <w:sz w:val="28"/>
                <w:szCs w:val="28"/>
              </w:rPr>
              <w:t>年</w:t>
            </w:r>
          </w:p>
        </w:tc>
        <w:tc>
          <w:tcPr>
            <w:tcW w:w="1711"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202</w:t>
            </w:r>
            <w:r>
              <w:rPr>
                <w:rFonts w:hint="eastAsia" w:cs="宋体" w:asciiTheme="majorEastAsia" w:hAnsiTheme="majorEastAsia" w:eastAsiaTheme="majorEastAsia"/>
                <w:kern w:val="0"/>
                <w:sz w:val="28"/>
                <w:szCs w:val="28"/>
                <w:lang w:val="en-US" w:eastAsia="zh-CN"/>
              </w:rPr>
              <w:t>2</w:t>
            </w:r>
            <w:r>
              <w:rPr>
                <w:rFonts w:hint="eastAsia" w:cs="宋体" w:asciiTheme="majorEastAsia" w:hAnsiTheme="majorEastAsia" w:eastAsiaTheme="majorEastAsia"/>
                <w:kern w:val="0"/>
                <w:sz w:val="28"/>
                <w:szCs w:val="28"/>
              </w:rPr>
              <w:t>年</w:t>
            </w:r>
          </w:p>
        </w:tc>
        <w:tc>
          <w:tcPr>
            <w:tcW w:w="2451"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spacing w:line="360" w:lineRule="auto"/>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202</w:t>
            </w:r>
            <w:r>
              <w:rPr>
                <w:rFonts w:hint="eastAsia" w:cs="宋体" w:asciiTheme="majorEastAsia" w:hAnsiTheme="majorEastAsia" w:eastAsiaTheme="majorEastAsia"/>
                <w:kern w:val="0"/>
                <w:sz w:val="28"/>
                <w:szCs w:val="28"/>
                <w:lang w:val="en-US" w:eastAsia="zh-CN"/>
              </w:rPr>
              <w:t>2</w:t>
            </w:r>
            <w:r>
              <w:rPr>
                <w:rFonts w:hint="eastAsia" w:cs="宋体" w:asciiTheme="majorEastAsia" w:hAnsiTheme="majorEastAsia" w:eastAsiaTheme="majorEastAsia"/>
                <w:kern w:val="0"/>
                <w:sz w:val="28"/>
                <w:szCs w:val="28"/>
              </w:rPr>
              <w:t>年比20</w:t>
            </w:r>
            <w:r>
              <w:rPr>
                <w:rFonts w:hint="eastAsia" w:cs="宋体" w:asciiTheme="majorEastAsia" w:hAnsiTheme="majorEastAsia" w:eastAsiaTheme="majorEastAsia"/>
                <w:kern w:val="0"/>
                <w:sz w:val="28"/>
                <w:szCs w:val="28"/>
                <w:lang w:val="en-US" w:eastAsia="zh-CN"/>
              </w:rPr>
              <w:t>21</w:t>
            </w:r>
            <w:r>
              <w:rPr>
                <w:rFonts w:hint="eastAsia" w:cs="宋体" w:asciiTheme="majorEastAsia" w:hAnsiTheme="majorEastAsia" w:eastAsiaTheme="majorEastAsia"/>
                <w:kern w:val="0"/>
                <w:sz w:val="28"/>
                <w:szCs w:val="28"/>
              </w:rPr>
              <w:t>年增减差异（+-）</w:t>
            </w:r>
          </w:p>
        </w:tc>
      </w:tr>
      <w:tr>
        <w:tblPrEx>
          <w:tblCellMar>
            <w:top w:w="0" w:type="dxa"/>
            <w:left w:w="108" w:type="dxa"/>
            <w:bottom w:w="0" w:type="dxa"/>
            <w:right w:w="108" w:type="dxa"/>
          </w:tblCellMar>
        </w:tblPrEx>
        <w:trPr>
          <w:trHeight w:val="592" w:hRule="atLeast"/>
        </w:trPr>
        <w:tc>
          <w:tcPr>
            <w:tcW w:w="2456" w:type="dxa"/>
            <w:tcBorders>
              <w:top w:val="nil"/>
              <w:left w:val="single" w:color="auto" w:sz="8" w:space="0"/>
              <w:bottom w:val="single" w:color="auto" w:sz="4" w:space="0"/>
              <w:right w:val="single" w:color="auto" w:sz="4" w:space="0"/>
            </w:tcBorders>
            <w:shd w:val="clear" w:color="auto" w:fill="auto"/>
          </w:tcPr>
          <w:p>
            <w:pPr>
              <w:widowControl/>
              <w:adjustRightInd w:val="0"/>
              <w:snapToGrid w:val="0"/>
              <w:spacing w:line="360" w:lineRule="auto"/>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1.预算收入合计</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kern w:val="0"/>
                <w:sz w:val="28"/>
                <w:szCs w:val="28"/>
                <w:lang w:val="en-US" w:eastAsia="zh-CN"/>
              </w:rPr>
            </w:pPr>
            <w:r>
              <w:rPr>
                <w:rFonts w:hint="eastAsia" w:ascii="宋体" w:hAnsi="宋体" w:cs="宋体"/>
                <w:color w:val="303030"/>
                <w:kern w:val="0"/>
                <w:sz w:val="28"/>
                <w:szCs w:val="28"/>
                <w:lang w:val="en-US" w:eastAsia="zh-CN"/>
              </w:rPr>
              <w:t>50901.68</w:t>
            </w:r>
          </w:p>
        </w:tc>
        <w:tc>
          <w:tcPr>
            <w:tcW w:w="1711" w:type="dxa"/>
            <w:tcBorders>
              <w:top w:val="nil"/>
              <w:left w:val="nil"/>
              <w:bottom w:val="single" w:color="auto" w:sz="4" w:space="0"/>
              <w:right w:val="single" w:color="auto" w:sz="4" w:space="0"/>
            </w:tcBorders>
            <w:shd w:val="clear" w:color="auto" w:fill="auto"/>
          </w:tcPr>
          <w:p>
            <w:pPr>
              <w:widowControl/>
              <w:adjustRightInd w:val="0"/>
              <w:snapToGrid w:val="0"/>
              <w:spacing w:line="360" w:lineRule="auto"/>
              <w:jc w:val="right"/>
              <w:rPr>
                <w:rFonts w:hint="default" w:ascii="宋体" w:hAnsi="宋体" w:cs="宋体"/>
                <w:color w:val="303030"/>
                <w:kern w:val="0"/>
                <w:sz w:val="28"/>
                <w:szCs w:val="28"/>
                <w:lang w:val="en-US" w:eastAsia="zh-CN"/>
              </w:rPr>
            </w:pPr>
            <w:r>
              <w:rPr>
                <w:rFonts w:hint="eastAsia" w:ascii="仿宋" w:hAnsi="仿宋" w:eastAsia="仿宋" w:cs="宋体"/>
                <w:bCs/>
                <w:color w:val="000000"/>
                <w:kern w:val="0"/>
                <w:sz w:val="32"/>
                <w:szCs w:val="32"/>
                <w:lang w:val="en-US" w:eastAsia="zh-CN"/>
              </w:rPr>
              <w:t>59869.16</w:t>
            </w:r>
          </w:p>
        </w:tc>
        <w:tc>
          <w:tcPr>
            <w:tcW w:w="2451" w:type="dxa"/>
            <w:tcBorders>
              <w:top w:val="nil"/>
              <w:left w:val="nil"/>
              <w:bottom w:val="single" w:color="auto" w:sz="4" w:space="0"/>
              <w:right w:val="single" w:color="auto" w:sz="8" w:space="0"/>
            </w:tcBorders>
            <w:shd w:val="clear" w:color="auto" w:fill="auto"/>
            <w:vAlign w:val="center"/>
          </w:tcPr>
          <w:p>
            <w:pPr>
              <w:adjustRightInd w:val="0"/>
              <w:snapToGrid w:val="0"/>
              <w:spacing w:line="360" w:lineRule="auto"/>
              <w:jc w:val="right"/>
              <w:rPr>
                <w:rFonts w:hint="default" w:cs="宋体" w:asciiTheme="majorEastAsia" w:hAnsiTheme="majorEastAsia" w:eastAsiaTheme="majorEastAsia"/>
                <w:sz w:val="28"/>
                <w:szCs w:val="28"/>
                <w:lang w:val="en-US" w:eastAsia="zh-CN"/>
              </w:rPr>
            </w:pPr>
            <w:r>
              <w:rPr>
                <w:rFonts w:hint="eastAsia" w:cs="宋体" w:asciiTheme="majorEastAsia" w:hAnsiTheme="majorEastAsia" w:eastAsiaTheme="majorEastAsia"/>
                <w:sz w:val="28"/>
                <w:szCs w:val="28"/>
                <w:lang w:val="en-US" w:eastAsia="zh-CN"/>
              </w:rPr>
              <w:t>+8967.47</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adjustRightInd w:val="0"/>
              <w:snapToGrid w:val="0"/>
              <w:spacing w:line="360" w:lineRule="auto"/>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财政拨款收入</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cs="宋体" w:asciiTheme="majorEastAsia" w:hAnsiTheme="majorEastAsia" w:eastAsiaTheme="majorEastAsia"/>
                <w:kern w:val="0"/>
                <w:sz w:val="28"/>
                <w:szCs w:val="28"/>
              </w:rPr>
            </w:pPr>
            <w:r>
              <w:rPr>
                <w:rFonts w:hint="eastAsia" w:ascii="宋体" w:hAnsi="宋体" w:cs="宋体"/>
                <w:color w:val="303030"/>
                <w:kern w:val="0"/>
                <w:sz w:val="28"/>
                <w:szCs w:val="28"/>
                <w:lang w:val="en-US" w:eastAsia="zh-CN"/>
              </w:rPr>
              <w:t>50901.68</w:t>
            </w:r>
          </w:p>
        </w:tc>
        <w:tc>
          <w:tcPr>
            <w:tcW w:w="1711" w:type="dxa"/>
            <w:tcBorders>
              <w:top w:val="nil"/>
              <w:left w:val="nil"/>
              <w:bottom w:val="single" w:color="auto" w:sz="4" w:space="0"/>
              <w:right w:val="single" w:color="auto" w:sz="4" w:space="0"/>
            </w:tcBorders>
            <w:shd w:val="clear" w:color="auto" w:fill="auto"/>
            <w:noWrap/>
            <w:vAlign w:val="top"/>
          </w:tcPr>
          <w:p>
            <w:pPr>
              <w:widowControl/>
              <w:adjustRightInd w:val="0"/>
              <w:snapToGrid w:val="0"/>
              <w:spacing w:line="360" w:lineRule="auto"/>
              <w:jc w:val="right"/>
              <w:rPr>
                <w:rFonts w:hint="default" w:cs="宋体" w:asciiTheme="majorEastAsia" w:hAnsiTheme="majorEastAsia" w:eastAsiaTheme="majorEastAsia"/>
                <w:kern w:val="0"/>
                <w:sz w:val="28"/>
                <w:szCs w:val="28"/>
                <w:lang w:val="en-US"/>
              </w:rPr>
            </w:pPr>
            <w:r>
              <w:rPr>
                <w:rFonts w:hint="eastAsia" w:ascii="仿宋" w:hAnsi="仿宋" w:eastAsia="仿宋" w:cs="宋体"/>
                <w:bCs/>
                <w:color w:val="000000"/>
                <w:kern w:val="0"/>
                <w:sz w:val="32"/>
                <w:szCs w:val="32"/>
                <w:lang w:val="en-US" w:eastAsia="zh-CN"/>
              </w:rPr>
              <w:t>59869.16</w:t>
            </w:r>
          </w:p>
        </w:tc>
        <w:tc>
          <w:tcPr>
            <w:tcW w:w="2451" w:type="dxa"/>
            <w:tcBorders>
              <w:top w:val="nil"/>
              <w:left w:val="nil"/>
              <w:bottom w:val="single" w:color="auto" w:sz="4" w:space="0"/>
              <w:right w:val="single" w:color="auto" w:sz="8" w:space="0"/>
            </w:tcBorders>
            <w:shd w:val="clear" w:color="auto" w:fill="auto"/>
            <w:vAlign w:val="center"/>
          </w:tcPr>
          <w:p>
            <w:pPr>
              <w:adjustRightInd w:val="0"/>
              <w:snapToGrid w:val="0"/>
              <w:spacing w:line="360" w:lineRule="auto"/>
              <w:jc w:val="right"/>
              <w:rPr>
                <w:rFonts w:hint="default" w:cs="宋体" w:asciiTheme="majorEastAsia" w:hAnsiTheme="majorEastAsia" w:eastAsiaTheme="majorEastAsia"/>
                <w:sz w:val="28"/>
                <w:szCs w:val="28"/>
                <w:lang w:val="en-US"/>
              </w:rPr>
            </w:pPr>
            <w:r>
              <w:rPr>
                <w:rFonts w:hint="eastAsia" w:cs="宋体" w:asciiTheme="majorEastAsia" w:hAnsiTheme="majorEastAsia" w:eastAsiaTheme="majorEastAsia"/>
                <w:sz w:val="28"/>
                <w:szCs w:val="28"/>
                <w:lang w:val="en-US" w:eastAsia="zh-CN"/>
              </w:rPr>
              <w:t>+8967.47</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adjustRightInd w:val="0"/>
              <w:snapToGrid w:val="0"/>
              <w:spacing w:line="360" w:lineRule="auto"/>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2.预算支出合计</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kern w:val="0"/>
                <w:sz w:val="28"/>
                <w:szCs w:val="28"/>
                <w:lang w:val="en-US"/>
              </w:rPr>
            </w:pPr>
            <w:r>
              <w:rPr>
                <w:rFonts w:hint="eastAsia" w:ascii="宋体" w:hAnsi="宋体" w:cs="宋体"/>
                <w:color w:val="303030"/>
                <w:kern w:val="0"/>
                <w:sz w:val="28"/>
                <w:szCs w:val="28"/>
                <w:lang w:val="en-US" w:eastAsia="zh-CN"/>
              </w:rPr>
              <w:t>50901.68</w:t>
            </w:r>
          </w:p>
        </w:tc>
        <w:tc>
          <w:tcPr>
            <w:tcW w:w="1711"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kern w:val="0"/>
                <w:sz w:val="28"/>
                <w:szCs w:val="28"/>
                <w:lang w:val="en-US"/>
              </w:rPr>
            </w:pPr>
            <w:r>
              <w:rPr>
                <w:rFonts w:hint="eastAsia" w:ascii="仿宋" w:hAnsi="仿宋" w:eastAsia="仿宋" w:cs="宋体"/>
                <w:bCs/>
                <w:color w:val="000000"/>
                <w:kern w:val="0"/>
                <w:sz w:val="32"/>
                <w:szCs w:val="32"/>
                <w:lang w:val="en-US" w:eastAsia="zh-CN"/>
              </w:rPr>
              <w:t>59869.16</w:t>
            </w:r>
          </w:p>
        </w:tc>
        <w:tc>
          <w:tcPr>
            <w:tcW w:w="2451" w:type="dxa"/>
            <w:tcBorders>
              <w:top w:val="nil"/>
              <w:left w:val="nil"/>
              <w:bottom w:val="single" w:color="auto" w:sz="4" w:space="0"/>
              <w:right w:val="single" w:color="auto" w:sz="8" w:space="0"/>
            </w:tcBorders>
            <w:shd w:val="clear" w:color="auto" w:fill="auto"/>
            <w:vAlign w:val="center"/>
          </w:tcPr>
          <w:p>
            <w:pPr>
              <w:adjustRightInd w:val="0"/>
              <w:snapToGrid w:val="0"/>
              <w:spacing w:line="360" w:lineRule="auto"/>
              <w:jc w:val="right"/>
              <w:rPr>
                <w:rFonts w:hint="default" w:cs="宋体" w:asciiTheme="majorEastAsia" w:hAnsiTheme="majorEastAsia" w:eastAsiaTheme="majorEastAsia"/>
                <w:sz w:val="28"/>
                <w:szCs w:val="28"/>
                <w:lang w:val="en-US"/>
              </w:rPr>
            </w:pPr>
            <w:r>
              <w:rPr>
                <w:rFonts w:hint="eastAsia" w:cs="宋体" w:asciiTheme="majorEastAsia" w:hAnsiTheme="majorEastAsia" w:eastAsiaTheme="majorEastAsia"/>
                <w:sz w:val="28"/>
                <w:szCs w:val="28"/>
                <w:lang w:val="en-US" w:eastAsia="zh-CN"/>
              </w:rPr>
              <w:t>+8967.47</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numPr>
                <w:ilvl w:val="0"/>
                <w:numId w:val="0"/>
              </w:numPr>
              <w:adjustRightInd w:val="0"/>
              <w:snapToGrid w:val="0"/>
              <w:spacing w:line="360" w:lineRule="auto"/>
              <w:rPr>
                <w:rFonts w:hint="default" w:cs="宋体" w:asciiTheme="majorEastAsia" w:hAnsiTheme="majorEastAsia" w:eastAsiaTheme="majorEastAsia"/>
                <w:kern w:val="0"/>
                <w:sz w:val="28"/>
                <w:szCs w:val="28"/>
                <w:lang w:val="en-US" w:eastAsia="zh-CN"/>
              </w:rPr>
            </w:pPr>
            <w:r>
              <w:rPr>
                <w:rFonts w:hint="eastAsia" w:cs="宋体" w:asciiTheme="majorEastAsia" w:hAnsiTheme="majorEastAsia" w:eastAsiaTheme="majorEastAsia"/>
                <w:kern w:val="0"/>
                <w:sz w:val="28"/>
                <w:szCs w:val="28"/>
              </w:rPr>
              <w:t>（</w:t>
            </w:r>
            <w:r>
              <w:rPr>
                <w:rFonts w:hint="eastAsia" w:cs="宋体" w:asciiTheme="majorEastAsia" w:hAnsiTheme="majorEastAsia" w:eastAsiaTheme="majorEastAsia"/>
                <w:kern w:val="0"/>
                <w:sz w:val="28"/>
                <w:szCs w:val="28"/>
                <w:lang w:val="en-US" w:eastAsia="zh-CN"/>
              </w:rPr>
              <w:t>1</w:t>
            </w:r>
            <w:r>
              <w:rPr>
                <w:rFonts w:hint="eastAsia" w:cs="宋体" w:asciiTheme="majorEastAsia" w:hAnsiTheme="majorEastAsia" w:eastAsiaTheme="majorEastAsia"/>
                <w:kern w:val="0"/>
                <w:sz w:val="28"/>
                <w:szCs w:val="28"/>
              </w:rPr>
              <w:t>）</w:t>
            </w:r>
            <w:r>
              <w:rPr>
                <w:rFonts w:hint="eastAsia" w:cs="宋体" w:asciiTheme="majorEastAsia" w:hAnsiTheme="majorEastAsia" w:eastAsiaTheme="majorEastAsia"/>
                <w:kern w:val="0"/>
                <w:sz w:val="28"/>
                <w:szCs w:val="28"/>
                <w:lang w:val="en-US" w:eastAsia="zh-CN"/>
              </w:rPr>
              <w:t>基本支出</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kern w:val="0"/>
                <w:sz w:val="28"/>
                <w:szCs w:val="28"/>
                <w:lang w:val="en-US" w:eastAsia="zh-CN"/>
              </w:rPr>
            </w:pPr>
            <w:r>
              <w:rPr>
                <w:rFonts w:hint="eastAsia" w:ascii="宋体" w:hAnsi="宋体" w:cs="宋体"/>
                <w:color w:val="000000"/>
                <w:kern w:val="0"/>
                <w:sz w:val="28"/>
                <w:szCs w:val="28"/>
                <w:lang w:val="en-US" w:eastAsia="zh-CN"/>
              </w:rPr>
              <w:t>47170.16</w:t>
            </w:r>
          </w:p>
        </w:tc>
        <w:tc>
          <w:tcPr>
            <w:tcW w:w="1711" w:type="dxa"/>
            <w:tcBorders>
              <w:top w:val="nil"/>
              <w:left w:val="nil"/>
              <w:bottom w:val="single" w:color="auto" w:sz="4" w:space="0"/>
              <w:right w:val="single" w:color="auto" w:sz="4" w:space="0"/>
            </w:tcBorders>
            <w:shd w:val="clear" w:color="auto" w:fill="auto"/>
          </w:tcPr>
          <w:p>
            <w:pPr>
              <w:widowControl/>
              <w:adjustRightInd w:val="0"/>
              <w:snapToGrid w:val="0"/>
              <w:spacing w:line="360" w:lineRule="auto"/>
              <w:jc w:val="right"/>
              <w:rPr>
                <w:rFonts w:hint="default" w:ascii="宋体" w:hAnsi="宋体" w:cs="宋体"/>
                <w:color w:val="000000"/>
                <w:kern w:val="0"/>
                <w:sz w:val="28"/>
                <w:szCs w:val="28"/>
                <w:lang w:val="en-US" w:eastAsia="zh-CN"/>
              </w:rPr>
            </w:pPr>
            <w:r>
              <w:rPr>
                <w:rFonts w:hint="eastAsia" w:ascii="仿宋" w:hAnsi="仿宋" w:eastAsia="仿宋" w:cs="宋体"/>
                <w:bCs/>
                <w:color w:val="000000"/>
                <w:kern w:val="0"/>
                <w:sz w:val="32"/>
                <w:szCs w:val="32"/>
                <w:lang w:val="en-US" w:eastAsia="zh-CN"/>
              </w:rPr>
              <w:t>45734.53</w:t>
            </w:r>
          </w:p>
        </w:tc>
        <w:tc>
          <w:tcPr>
            <w:tcW w:w="2451" w:type="dxa"/>
            <w:tcBorders>
              <w:top w:val="nil"/>
              <w:left w:val="nil"/>
              <w:bottom w:val="single" w:color="auto" w:sz="4" w:space="0"/>
              <w:right w:val="single" w:color="auto" w:sz="8" w:space="0"/>
            </w:tcBorders>
            <w:shd w:val="clear" w:color="auto" w:fill="auto"/>
          </w:tcPr>
          <w:p>
            <w:pPr>
              <w:adjustRightInd w:val="0"/>
              <w:snapToGrid w:val="0"/>
              <w:spacing w:line="360" w:lineRule="auto"/>
              <w:jc w:val="right"/>
              <w:rPr>
                <w:rFonts w:hint="default" w:cs="宋体" w:asciiTheme="majorEastAsia" w:hAnsiTheme="majorEastAsia" w:eastAsiaTheme="majorEastAsia"/>
                <w:sz w:val="28"/>
                <w:szCs w:val="28"/>
                <w:lang w:val="en-US" w:eastAsia="zh-CN"/>
              </w:rPr>
            </w:pPr>
            <w:r>
              <w:rPr>
                <w:rFonts w:hint="eastAsia" w:cs="宋体" w:asciiTheme="majorEastAsia" w:hAnsiTheme="majorEastAsia" w:eastAsiaTheme="majorEastAsia"/>
                <w:sz w:val="28"/>
                <w:szCs w:val="28"/>
                <w:lang w:val="en-US" w:eastAsia="zh-CN"/>
              </w:rPr>
              <w:t>-1435.63</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adjustRightInd w:val="0"/>
              <w:snapToGrid w:val="0"/>
              <w:spacing w:line="360" w:lineRule="auto"/>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w:t>
            </w:r>
            <w:r>
              <w:rPr>
                <w:rFonts w:hint="eastAsia" w:cs="宋体" w:asciiTheme="majorEastAsia" w:hAnsiTheme="majorEastAsia" w:eastAsiaTheme="majorEastAsia"/>
                <w:kern w:val="0"/>
                <w:sz w:val="28"/>
                <w:szCs w:val="28"/>
                <w:lang w:val="en-US" w:eastAsia="zh-CN"/>
              </w:rPr>
              <w:t>项目</w:t>
            </w:r>
            <w:r>
              <w:rPr>
                <w:rFonts w:hint="eastAsia" w:cs="宋体" w:asciiTheme="majorEastAsia" w:hAnsiTheme="majorEastAsia" w:eastAsiaTheme="majorEastAsia"/>
                <w:kern w:val="0"/>
                <w:sz w:val="28"/>
                <w:szCs w:val="28"/>
              </w:rPr>
              <w:t>支出</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kern w:val="0"/>
                <w:sz w:val="28"/>
                <w:szCs w:val="28"/>
                <w:lang w:val="en-US" w:eastAsia="zh-CN"/>
              </w:rPr>
            </w:pPr>
            <w:r>
              <w:rPr>
                <w:rFonts w:hint="eastAsia" w:cs="宋体" w:asciiTheme="majorEastAsia" w:hAnsiTheme="majorEastAsia" w:eastAsiaTheme="majorEastAsia"/>
                <w:kern w:val="0"/>
                <w:sz w:val="28"/>
                <w:szCs w:val="28"/>
                <w:lang w:val="en-US" w:eastAsia="zh-CN"/>
              </w:rPr>
              <w:t>3731.52</w:t>
            </w:r>
          </w:p>
        </w:tc>
        <w:tc>
          <w:tcPr>
            <w:tcW w:w="1711" w:type="dxa"/>
            <w:tcBorders>
              <w:top w:val="nil"/>
              <w:left w:val="nil"/>
              <w:bottom w:val="single" w:color="auto" w:sz="4" w:space="0"/>
              <w:right w:val="single" w:color="auto" w:sz="4" w:space="0"/>
            </w:tcBorders>
            <w:shd w:val="clear" w:color="auto" w:fill="auto"/>
          </w:tcPr>
          <w:p>
            <w:pPr>
              <w:widowControl/>
              <w:adjustRightInd w:val="0"/>
              <w:snapToGrid w:val="0"/>
              <w:spacing w:line="360" w:lineRule="auto"/>
              <w:jc w:val="right"/>
              <w:rPr>
                <w:rFonts w:hint="default" w:cs="宋体" w:asciiTheme="majorEastAsia" w:hAnsiTheme="majorEastAsia" w:eastAsiaTheme="majorEastAsia"/>
                <w:kern w:val="0"/>
                <w:sz w:val="28"/>
                <w:szCs w:val="28"/>
                <w:lang w:val="en-US" w:eastAsia="zh-CN"/>
              </w:rPr>
            </w:pPr>
            <w:r>
              <w:rPr>
                <w:rFonts w:hint="eastAsia" w:cs="宋体" w:asciiTheme="majorEastAsia" w:hAnsiTheme="majorEastAsia" w:eastAsiaTheme="majorEastAsia"/>
                <w:kern w:val="0"/>
                <w:sz w:val="28"/>
                <w:szCs w:val="28"/>
                <w:lang w:val="en-US" w:eastAsia="zh-CN"/>
              </w:rPr>
              <w:t>14134.62</w:t>
            </w:r>
          </w:p>
        </w:tc>
        <w:tc>
          <w:tcPr>
            <w:tcW w:w="2451" w:type="dxa"/>
            <w:tcBorders>
              <w:top w:val="nil"/>
              <w:left w:val="nil"/>
              <w:bottom w:val="single" w:color="auto" w:sz="4" w:space="0"/>
              <w:right w:val="single" w:color="auto" w:sz="8" w:space="0"/>
            </w:tcBorders>
            <w:shd w:val="clear" w:color="auto" w:fill="auto"/>
          </w:tcPr>
          <w:p>
            <w:pPr>
              <w:adjustRightInd w:val="0"/>
              <w:snapToGrid w:val="0"/>
              <w:spacing w:line="360" w:lineRule="auto"/>
              <w:jc w:val="right"/>
              <w:rPr>
                <w:rFonts w:hint="default" w:cs="宋体" w:asciiTheme="majorEastAsia" w:hAnsiTheme="majorEastAsia" w:eastAsiaTheme="majorEastAsia"/>
                <w:sz w:val="28"/>
                <w:szCs w:val="28"/>
                <w:lang w:val="en-US" w:eastAsia="zh-CN"/>
              </w:rPr>
            </w:pPr>
            <w:r>
              <w:rPr>
                <w:rFonts w:hint="eastAsia" w:cs="宋体" w:asciiTheme="majorEastAsia" w:hAnsiTheme="majorEastAsia" w:eastAsiaTheme="majorEastAsia"/>
                <w:sz w:val="28"/>
                <w:szCs w:val="28"/>
                <w:lang w:val="en-US" w:eastAsia="zh-CN"/>
              </w:rPr>
              <w:t>+10403.10</w:t>
            </w:r>
          </w:p>
        </w:tc>
      </w:tr>
    </w:tbl>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2.预算收入支出增减变动原因分析</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根据上述分析表，本单位2022年预算收入比2021年预算收入增加8967.47万元，主要原因是将省市财政提前下达、城乡义务教育补助经费、学生资助补助经费、特殊教育补助经费、义教阶段寄宿生交通补助省级奖补资金、学前教育发展资金、义务教育阶段薄弱环节改善和能力提升补助资金、省内高职免书本免学杂等专项资金纳入预算。</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三、绩效评价情况</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永登县教育局2022年项目预算按照《中共中央 国务院关于全面实施预算绩效管理的意见》要求，全部纳入绩效管理,对各个项目的预算绩效具体目标进行细化、量化，并经县财政局第三方评价后全部予以通过。在2022年预算执行过程中，我单位将认真贯彻中央和省、市有关文件精神，积极推进预算绩效管理工作，严格遵守财经纪律，进一步健全财务管理制度，做到执行制度严格合规，会计核算符合相关规定，资金专款专用，资金支付依据和开支标准合法合规，提高财政资金使用效益，保证预算绩效工作成效良好，对绩效目标完成情况作出评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四、其他重要事项</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（一）机关运行经费安排情况说明</w:t>
      </w:r>
    </w:p>
    <w:p>
      <w:pPr>
        <w:spacing w:line="560" w:lineRule="exact"/>
        <w:ind w:firstLine="640" w:firstLineChars="200"/>
        <w:rPr>
          <w:rFonts w:hint="default" w:ascii="仿宋_GB2312" w:hAnsi="黑体" w:eastAsia="仿宋_GB2312"/>
          <w:sz w:val="32"/>
          <w:szCs w:val="32"/>
          <w:lang w:val="en-US" w:eastAsia="zh-CN"/>
        </w:rPr>
      </w:pPr>
      <w:r>
        <w:rPr>
          <w:rFonts w:hint="eastAsia" w:ascii="仿宋_GB2312" w:hAnsi="仿宋" w:eastAsia="仿宋_GB2312"/>
          <w:color w:val="333333"/>
          <w:sz w:val="32"/>
          <w:szCs w:val="32"/>
          <w:shd w:val="clear" w:color="auto" w:fill="FFFFFF"/>
          <w:lang w:val="en-US" w:eastAsia="zh-CN"/>
        </w:rPr>
        <w:t>2022年机关运行经费“一般公共预算基本支出”安排395.27万元，其中：办公费8.72万元，水费0.22万元，电费0.22万元，邮电费0.81万元，取暖费9.75万元，差旅费1.31万元，公务接待费0.20万元，工会经费147.33万元，福利费172.23万元，其他交通费54.48万元。</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（二）三公经费增减情况说明</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2022年“三公”经费预算财政拨款安排的支出0.20万元，其中：公务接待费0.20万元，较上年减少0.02万元。</w:t>
      </w:r>
    </w:p>
    <w:p>
      <w:pPr>
        <w:numPr>
          <w:ilvl w:val="0"/>
          <w:numId w:val="1"/>
        </w:numPr>
        <w:spacing w:line="560" w:lineRule="exact"/>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rPr>
        <w:t>政府采购安排情况说明</w:t>
      </w:r>
    </w:p>
    <w:p>
      <w:pPr>
        <w:numPr>
          <w:ilvl w:val="0"/>
          <w:numId w:val="0"/>
        </w:numPr>
        <w:spacing w:line="560" w:lineRule="exact"/>
        <w:ind w:leftChars="200" w:firstLine="320" w:firstLineChars="1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无</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（四）国有资产占用情况说明</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我单位截止2022年底，国有资产总值70445.96万元，其中土地、房屋及构筑物类48552.41万元；通用设备、专用设备、文物和陈列品、图书档案、家具等21893.55</w:t>
      </w:r>
      <w:bookmarkStart w:id="0" w:name="_GoBack"/>
      <w:bookmarkEnd w:id="0"/>
      <w:r>
        <w:rPr>
          <w:rFonts w:hint="eastAsia" w:ascii="仿宋_GB2312" w:hAnsi="仿宋" w:eastAsia="仿宋_GB2312"/>
          <w:color w:val="333333"/>
          <w:sz w:val="32"/>
          <w:szCs w:val="32"/>
          <w:shd w:val="clear" w:color="auto" w:fill="FFFFFF"/>
          <w:lang w:val="en-US" w:eastAsia="zh-CN"/>
        </w:rPr>
        <w:t>万元。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五、名词解释</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（一）财政拨款收入：指由市级财政拨款形成的部门收入。按现行管理制度，部门预算中反映的财政拨款包括一般公共预算拨款和政府性基金预算拨款。</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（二）上年结转和结余：指以前年度尚未完成、结转到本年仍按原规定用途继续使用的资金，或项目已完成等产生的结余资金。</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（三）年末结转和结余：指单位按有关规定结转到下年或以后年度继续使用的资金。</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（四）基本支出：指为保障机构正常运转、完成日常工作任务而发生的人员经费和日常公用经费。</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（五）社会保障和就业支出（类）：反映政府在社会保障与就业方面的支出。</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（六）医疗卫生与计划生育支出（类）：反映政府医疗卫生与计划生育管理方面的支出。</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（七）事业单位医疗（项）：反映财政部门集中安排的事业单位基本医疗保险缴费经费，未参加医疗保险的事业单位的公费医疗经费。</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（八）住房保障支出（类）住房改革支出（款）住房公积金（项）：反映行政事业单位按人力资源和社会保障部、财政部规定的基本工资和津贴补贴以及规定比例为职工缴纳的住房公积金。</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九）“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十）财政绩效评价：财政绩效评价也称政府支出绩效评价，是指运用一定的评价方法、量化指标及评价标准，对政府部门为实现其职能所确定的绩效目标的实现程度、以及为实现这一目标所安排预算的执行结果进行的综合性评价。</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4B4C9E"/>
    <w:multiLevelType w:val="singleLevel"/>
    <w:tmpl w:val="724B4C9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ODRiYzI4NGI5Njk5NWMzMzA2OWQ4ZmZmMTI2NDMifQ=="/>
  </w:docVars>
  <w:rsids>
    <w:rsidRoot w:val="006C307C"/>
    <w:rsid w:val="00472F92"/>
    <w:rsid w:val="00687717"/>
    <w:rsid w:val="006C307C"/>
    <w:rsid w:val="006C59CA"/>
    <w:rsid w:val="007D5C28"/>
    <w:rsid w:val="00835F19"/>
    <w:rsid w:val="00C76CE9"/>
    <w:rsid w:val="00CE3DDE"/>
    <w:rsid w:val="00D62C0F"/>
    <w:rsid w:val="00E97110"/>
    <w:rsid w:val="046946B3"/>
    <w:rsid w:val="0C3A1310"/>
    <w:rsid w:val="105C3FAD"/>
    <w:rsid w:val="1652100B"/>
    <w:rsid w:val="28A26159"/>
    <w:rsid w:val="30111245"/>
    <w:rsid w:val="418E75AE"/>
    <w:rsid w:val="56DE5F5E"/>
    <w:rsid w:val="6DB12604"/>
    <w:rsid w:val="7B1A5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3038</Words>
  <Characters>3473</Characters>
  <Lines>2</Lines>
  <Paragraphs>1</Paragraphs>
  <TotalTime>4</TotalTime>
  <ScaleCrop>false</ScaleCrop>
  <LinksUpToDate>false</LinksUpToDate>
  <CharactersWithSpaces>3564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2021-05-20T01:35:00Z</dcterms:created>
  <dc:creator>Windows 用户</dc:creator>
  <cp:lastModifiedBy>金虎泰</cp:lastModifiedBy>
  <dcterms:modified xsi:type="dcterms:W3CDTF">2023-05-21T10:27:52Z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654773F1223B49F4B3EC938E14326734</vt:lpwstr>
  </property>
</Properties>
</file>